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16" w:rsidRPr="00291AAF" w:rsidRDefault="004A5885">
      <w:pPr>
        <w:rPr>
          <w:rFonts w:ascii="Times New Roman" w:hAnsi="Times New Roman" w:cs="Times New Roman"/>
          <w:sz w:val="24"/>
          <w:szCs w:val="24"/>
        </w:rPr>
      </w:pPr>
      <w:r w:rsidRPr="00291AAF">
        <w:rPr>
          <w:rFonts w:ascii="Times New Roman" w:hAnsi="Times New Roman" w:cs="Times New Roman"/>
          <w:sz w:val="24"/>
          <w:szCs w:val="24"/>
        </w:rPr>
        <w:t xml:space="preserve"> Teoreetilised küsimused koos vastustega </w:t>
      </w:r>
      <w:r w:rsidR="00291AAF" w:rsidRPr="00291AAF">
        <w:rPr>
          <w:rFonts w:ascii="Times New Roman" w:hAnsi="Times New Roman" w:cs="Times New Roman"/>
          <w:sz w:val="24"/>
          <w:szCs w:val="24"/>
        </w:rPr>
        <w:t>(vara hindaja)</w:t>
      </w:r>
      <w:r w:rsidRPr="00291AAF">
        <w:rPr>
          <w:rFonts w:ascii="Times New Roman" w:hAnsi="Times New Roman" w:cs="Times New Roman"/>
          <w:sz w:val="24"/>
          <w:szCs w:val="24"/>
        </w:rPr>
        <w:t xml:space="preserve">   </w:t>
      </w:r>
      <w:r w:rsidR="00291AAF">
        <w:rPr>
          <w:rFonts w:ascii="Times New Roman" w:hAnsi="Times New Roman" w:cs="Times New Roman"/>
          <w:sz w:val="24"/>
          <w:szCs w:val="24"/>
        </w:rPr>
        <w:br/>
      </w:r>
      <w:r w:rsidRPr="00291AAF">
        <w:rPr>
          <w:rFonts w:ascii="Times New Roman" w:hAnsi="Times New Roman" w:cs="Times New Roman"/>
          <w:sz w:val="24"/>
          <w:szCs w:val="24"/>
        </w:rPr>
        <w:t xml:space="preserve">                 </w:t>
      </w: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1.</w:t>
      </w:r>
      <w:r w:rsidRPr="00291AAF">
        <w:rPr>
          <w:rFonts w:ascii="Times New Roman" w:hAnsi="Times New Roman" w:cs="Times New Roman"/>
          <w:sz w:val="24"/>
          <w:szCs w:val="24"/>
        </w:rPr>
        <w:tab/>
        <w:t xml:space="preserve">Milline sihtostarve või sihtotstarbed määratakse maatükile, mis kuulub äriühingule ning sellel asub 150 </w:t>
      </w:r>
      <w:proofErr w:type="spellStart"/>
      <w:r w:rsidRPr="00291AAF">
        <w:rPr>
          <w:rFonts w:ascii="Times New Roman" w:hAnsi="Times New Roman" w:cs="Times New Roman"/>
          <w:sz w:val="24"/>
          <w:szCs w:val="24"/>
        </w:rPr>
        <w:t>m²</w:t>
      </w:r>
      <w:proofErr w:type="spellEnd"/>
      <w:r w:rsidRPr="00291AAF">
        <w:rPr>
          <w:rFonts w:ascii="Times New Roman" w:hAnsi="Times New Roman" w:cs="Times New Roman"/>
          <w:sz w:val="24"/>
          <w:szCs w:val="24"/>
        </w:rPr>
        <w:t xml:space="preserve"> suletud brutopinnaga ärihoone, mida rendivad 100 </w:t>
      </w:r>
      <w:proofErr w:type="spellStart"/>
      <w:r w:rsidRPr="00291AAF">
        <w:rPr>
          <w:rFonts w:ascii="Times New Roman" w:hAnsi="Times New Roman" w:cs="Times New Roman"/>
          <w:sz w:val="24"/>
          <w:szCs w:val="24"/>
        </w:rPr>
        <w:t>m²</w:t>
      </w:r>
      <w:proofErr w:type="spellEnd"/>
      <w:r w:rsidRPr="00291AAF">
        <w:rPr>
          <w:rFonts w:ascii="Times New Roman" w:hAnsi="Times New Roman" w:cs="Times New Roman"/>
          <w:sz w:val="24"/>
          <w:szCs w:val="24"/>
        </w:rPr>
        <w:t xml:space="preserve"> ulatuses valla raamatukogu ja 50 </w:t>
      </w:r>
      <w:proofErr w:type="spellStart"/>
      <w:r w:rsidRPr="00291AAF">
        <w:rPr>
          <w:rFonts w:ascii="Times New Roman" w:hAnsi="Times New Roman" w:cs="Times New Roman"/>
          <w:sz w:val="24"/>
          <w:szCs w:val="24"/>
        </w:rPr>
        <w:t>m²</w:t>
      </w:r>
      <w:proofErr w:type="spellEnd"/>
      <w:r w:rsidRPr="00291AAF">
        <w:rPr>
          <w:rFonts w:ascii="Times New Roman" w:hAnsi="Times New Roman" w:cs="Times New Roman"/>
          <w:sz w:val="24"/>
          <w:szCs w:val="24"/>
        </w:rPr>
        <w:t xml:space="preserve"> ulatuses talupood</w:t>
      </w: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See maa on 100% ärimaa, sest omanik kasutab maad ärilisel eesmärgil</w:t>
      </w: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2.</w:t>
      </w:r>
      <w:r w:rsidRPr="00291AAF">
        <w:rPr>
          <w:rFonts w:ascii="Times New Roman" w:hAnsi="Times New Roman" w:cs="Times New Roman"/>
          <w:sz w:val="24"/>
          <w:szCs w:val="24"/>
        </w:rPr>
        <w:tab/>
        <w:t>Kui pikalt ja millistel tingimustel võib üles öelda tähtajatu põllumajandusliku rendilepingu</w:t>
      </w: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Tähtajatu põllumajandusliku rendilepingu võivad lepingupooled üles öelda, teatades sellest ette vähemalt üks aasta. Lepingu võib üles öelda üksnes selliselt, et leping lõpeb 1. aprillil või 1. oktoobril.</w:t>
      </w: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3.</w:t>
      </w:r>
      <w:r w:rsidRPr="00291AAF">
        <w:rPr>
          <w:rFonts w:ascii="Times New Roman" w:hAnsi="Times New Roman" w:cs="Times New Roman"/>
          <w:sz w:val="24"/>
          <w:szCs w:val="24"/>
        </w:rPr>
        <w:tab/>
        <w:t>Millised andmed kantakse kinnistusregistriosa kolmandasse jakku</w:t>
      </w: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(1) Kinnistusregistriosa kolmandasse jakku «Koormatised ja kitsendused» kantakse:</w:t>
      </w: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1) kinnistut koormavad piiratud asjaõigused, välja arvatud hüpoteek, kinnisomandi kitsendused ja märked nende kohta;</w:t>
      </w: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2) kinnistu omaniku käsutusõiguse kitsendused, samuti muud märked omandi kohta;</w:t>
      </w: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3) käesoleva paragrahvi punktides 1 ja 2 nimetatud kannete muudatused, sealhulgas puudutatud isikute kitsendused oma õiguste käsutamisel;</w:t>
      </w: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4) käesoleva paragrahvi punktides 1-3 nimetatud kannete kustutamine.</w:t>
      </w: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(2) Riigi omandis oleva kinnistu või riigile kuuluva piiratud asjaõiguse korral kantakse käesoleva paragrahvi 1. lõikes nimetatud jakku märkus riigivara valitseja kohta. Riigivara valitseja kohta märkuse sissekandmine ja selle muutmine toimub riigivara valitseja avalduse alusel.</w:t>
      </w: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4.</w:t>
      </w:r>
      <w:r w:rsidRPr="00291AAF">
        <w:rPr>
          <w:rFonts w:ascii="Times New Roman" w:hAnsi="Times New Roman" w:cs="Times New Roman"/>
          <w:sz w:val="24"/>
          <w:szCs w:val="24"/>
        </w:rPr>
        <w:tab/>
        <w:t>Mis on määratletud krundi ehitusõigusega</w:t>
      </w: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Krundi ehitusõigusega on määratletud:</w:t>
      </w: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1) krundi kasutamise sihtotstarve või sihtotstarbed;</w:t>
      </w: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2) hoonete suurim lubatud arv või hoonete puudumine krundil;</w:t>
      </w: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3) hoonete suurim lubatud ehitusalune pindala;</w:t>
      </w: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4) hoonete suurim lubatud kõrgus.</w:t>
      </w: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5.</w:t>
      </w:r>
      <w:r w:rsidRPr="00291AAF">
        <w:rPr>
          <w:rFonts w:ascii="Times New Roman" w:hAnsi="Times New Roman" w:cs="Times New Roman"/>
          <w:sz w:val="24"/>
          <w:szCs w:val="24"/>
        </w:rPr>
        <w:tab/>
        <w:t xml:space="preserve">Kinnisvarafirma tegevust iseloomustab järgmine seos: ROA &lt; i, ehk ettevõtte varade tulusus on väiksem, kui pikaajalise laenu tegelik intressimäär. Selgitage, millist mõju avaldab selline olukord ettevõtte tegevustulemuslikkusele, eriti aga omakapitali tulususele (ROE) </w:t>
      </w:r>
      <w:r w:rsidRPr="00291AAF">
        <w:rPr>
          <w:rFonts w:ascii="Times New Roman" w:hAnsi="Times New Roman" w:cs="Times New Roman"/>
          <w:sz w:val="24"/>
          <w:szCs w:val="24"/>
        </w:rPr>
        <w:lastRenderedPageBreak/>
        <w:t>pikema ajaperioodi jooksul? (Märkus: seost on võimalik kohaldada ka üksikule kinnisvaraobjektile.)</w:t>
      </w: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Vastus: Selline seos mõjub ettevõtte omakapitali tulususele negatiivselt. Tegemist on ebasoodsa finantsvõimendusega, mille tulemusel ROE mitte ei suurene, vaid hakkab alanema. (Üksiku kinnisvara tasandil on soodsa finantsvõimenduse näitajaks see, kui üldine kapitalisatsioonimäär on suurem hüpoteegi konstandist.)</w:t>
      </w:r>
    </w:p>
    <w:p w:rsidR="00AA6286" w:rsidRPr="00291AAF" w:rsidRDefault="00AA6286" w:rsidP="00AA6286">
      <w:pPr>
        <w:rPr>
          <w:rFonts w:ascii="Times New Roman" w:hAnsi="Times New Roman" w:cs="Times New Roman"/>
          <w:sz w:val="24"/>
          <w:szCs w:val="24"/>
        </w:rPr>
      </w:pPr>
    </w:p>
    <w:p w:rsidR="00AA6286" w:rsidRPr="00291AAF" w:rsidRDefault="00AA6286" w:rsidP="00AA6286">
      <w:pPr>
        <w:pStyle w:val="lqiktavaline"/>
        <w:numPr>
          <w:ilvl w:val="0"/>
          <w:numId w:val="1"/>
        </w:numPr>
        <w:tabs>
          <w:tab w:val="clear" w:pos="720"/>
          <w:tab w:val="num" w:pos="426"/>
        </w:tabs>
        <w:spacing w:before="0"/>
        <w:ind w:left="426" w:hanging="426"/>
        <w:rPr>
          <w:sz w:val="24"/>
          <w:szCs w:val="24"/>
        </w:rPr>
      </w:pPr>
      <w:r w:rsidRPr="00291AAF">
        <w:rPr>
          <w:sz w:val="24"/>
          <w:szCs w:val="24"/>
        </w:rPr>
        <w:t>Mida nimetatakse nõudmise hinnaelastsuseks? Millal on kauba nõudmine normaal- ehk ühiku</w:t>
      </w:r>
      <w:r w:rsidRPr="00291AAF">
        <w:rPr>
          <w:sz w:val="24"/>
          <w:szCs w:val="24"/>
        </w:rPr>
        <w:softHyphen/>
        <w:t>elast</w:t>
      </w:r>
      <w:r w:rsidRPr="00291AAF">
        <w:rPr>
          <w:sz w:val="24"/>
          <w:szCs w:val="24"/>
        </w:rPr>
        <w:softHyphen/>
        <w:t>ne?</w:t>
      </w:r>
    </w:p>
    <w:p w:rsidR="00AA6286" w:rsidRPr="00291AAF" w:rsidRDefault="00AA6286" w:rsidP="00AA6286">
      <w:pPr>
        <w:pStyle w:val="lqiktavaline"/>
        <w:rPr>
          <w:sz w:val="24"/>
          <w:szCs w:val="24"/>
        </w:rPr>
      </w:pPr>
      <w:r w:rsidRPr="00291AAF">
        <w:rPr>
          <w:b/>
          <w:sz w:val="24"/>
          <w:szCs w:val="24"/>
        </w:rPr>
        <w:t xml:space="preserve">Vastus: </w:t>
      </w:r>
      <w:r w:rsidRPr="00291AAF">
        <w:rPr>
          <w:sz w:val="24"/>
          <w:szCs w:val="24"/>
        </w:rPr>
        <w:t>Nõudmise hinnaelastsuseks (mõnikord nimetatakse seda ka tundlikkuseks) nimetatakse kauba nõud</w:t>
      </w:r>
      <w:r w:rsidRPr="00291AAF">
        <w:rPr>
          <w:sz w:val="24"/>
          <w:szCs w:val="24"/>
        </w:rPr>
        <w:softHyphen/>
        <w:t>mi</w:t>
      </w:r>
      <w:r w:rsidRPr="00291AAF">
        <w:rPr>
          <w:sz w:val="24"/>
          <w:szCs w:val="24"/>
        </w:rPr>
        <w:softHyphen/>
        <w:t>se koguse suhtelise muutuse ja tema hinna suhtelise muutuse jagatist. Nõudmise hinnaelastsuse arvulist väär</w:t>
      </w:r>
      <w:r w:rsidRPr="00291AAF">
        <w:rPr>
          <w:sz w:val="24"/>
          <w:szCs w:val="24"/>
        </w:rPr>
        <w:softHyphen/>
        <w:t>tust väljendatakse elastsuskoefitsiendi (E) abil:</w:t>
      </w:r>
    </w:p>
    <w:p w:rsidR="00AA6286" w:rsidRPr="00291AAF" w:rsidRDefault="00AA6286" w:rsidP="00AA6286">
      <w:pPr>
        <w:pStyle w:val="lqiktavaline"/>
        <w:spacing w:after="120"/>
        <w:rPr>
          <w:sz w:val="24"/>
          <w:szCs w:val="24"/>
        </w:rPr>
      </w:pPr>
      <w:r w:rsidRPr="00291AAF">
        <w:rPr>
          <w:position w:val="-24"/>
          <w:sz w:val="24"/>
          <w:szCs w:val="24"/>
        </w:rPr>
        <w:object w:dxaOrig="49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33pt" o:ole="" fillcolor="window">
            <v:imagedata r:id="rId5" o:title=""/>
          </v:shape>
          <o:OLEObject Type="Embed" ProgID="Equation.3" ShapeID="_x0000_i1025" DrawAspect="Content" ObjectID="_1414840455" r:id="rId6"/>
        </w:object>
      </w: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Nõudmine on normaal- ehk. ühikuelastne, kui kauba hinna ja koguse suhteliste muutuste jagatis on (E=1), s.t hinna muutumine tingib nõutava koguse samasuure muutumise.</w:t>
      </w:r>
    </w:p>
    <w:p w:rsidR="00AA6286" w:rsidRPr="00291AAF" w:rsidRDefault="00AA6286" w:rsidP="00AA6286">
      <w:pPr>
        <w:rPr>
          <w:rFonts w:ascii="Times New Roman" w:hAnsi="Times New Roman" w:cs="Times New Roman"/>
          <w:sz w:val="24"/>
          <w:szCs w:val="24"/>
        </w:rPr>
      </w:pP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7.</w:t>
      </w:r>
      <w:r w:rsidRPr="00291AAF">
        <w:rPr>
          <w:rFonts w:ascii="Times New Roman" w:hAnsi="Times New Roman" w:cs="Times New Roman"/>
          <w:sz w:val="24"/>
          <w:szCs w:val="24"/>
        </w:rPr>
        <w:tab/>
        <w:t>Parima kasutuse analüüsil (vastavalt EVS 875 – 3), mis on aluseks turuväärtuse hindamisel, on oluline lähtuda õiguslikult lubatud kasutusest. Millest lähtute detailplaneeringu koostamise kohustuse olemasolu korral?</w:t>
      </w:r>
    </w:p>
    <w:p w:rsidR="00AA6286" w:rsidRPr="00291AAF" w:rsidRDefault="00AA6286" w:rsidP="00AA6286">
      <w:pPr>
        <w:spacing w:after="0"/>
        <w:rPr>
          <w:rFonts w:ascii="Times New Roman" w:hAnsi="Times New Roman" w:cs="Times New Roman"/>
          <w:sz w:val="24"/>
          <w:szCs w:val="24"/>
        </w:rPr>
      </w:pPr>
      <w:r w:rsidRPr="00291AAF">
        <w:rPr>
          <w:rFonts w:ascii="Times New Roman" w:hAnsi="Times New Roman" w:cs="Times New Roman"/>
          <w:sz w:val="24"/>
          <w:szCs w:val="24"/>
        </w:rPr>
        <w:t xml:space="preserve">Vastus: Detailplaneeringu koostamise kohustuse korral lähtutakse õiguslikult lubatud kasutusotstarbe määramisel: </w:t>
      </w:r>
    </w:p>
    <w:p w:rsidR="00AA6286" w:rsidRPr="00291AAF" w:rsidRDefault="00AA6286" w:rsidP="00AA6286">
      <w:pPr>
        <w:spacing w:after="0"/>
        <w:rPr>
          <w:rFonts w:ascii="Times New Roman" w:hAnsi="Times New Roman" w:cs="Times New Roman"/>
          <w:sz w:val="24"/>
          <w:szCs w:val="24"/>
        </w:rPr>
      </w:pPr>
      <w:r w:rsidRPr="00291AAF">
        <w:rPr>
          <w:rFonts w:ascii="Times New Roman" w:hAnsi="Times New Roman" w:cs="Times New Roman"/>
          <w:sz w:val="24"/>
          <w:szCs w:val="24"/>
        </w:rPr>
        <w:t>1.</w:t>
      </w:r>
      <w:r w:rsidRPr="00291AAF">
        <w:rPr>
          <w:rFonts w:ascii="Times New Roman" w:hAnsi="Times New Roman" w:cs="Times New Roman"/>
          <w:sz w:val="24"/>
          <w:szCs w:val="24"/>
        </w:rPr>
        <w:tab/>
        <w:t xml:space="preserve">ehitise kasutamise otstarbele vastavalt kasutusloale, selle puudumisel </w:t>
      </w:r>
    </w:p>
    <w:p w:rsidR="00AA6286" w:rsidRPr="00291AAF" w:rsidRDefault="00AA6286" w:rsidP="00AA6286">
      <w:pPr>
        <w:spacing w:after="0"/>
        <w:rPr>
          <w:rFonts w:ascii="Times New Roman" w:hAnsi="Times New Roman" w:cs="Times New Roman"/>
          <w:sz w:val="24"/>
          <w:szCs w:val="24"/>
        </w:rPr>
      </w:pPr>
      <w:r w:rsidRPr="00291AAF">
        <w:rPr>
          <w:rFonts w:ascii="Times New Roman" w:hAnsi="Times New Roman" w:cs="Times New Roman"/>
          <w:sz w:val="24"/>
          <w:szCs w:val="24"/>
        </w:rPr>
        <w:t>2.</w:t>
      </w:r>
      <w:r w:rsidRPr="00291AAF">
        <w:rPr>
          <w:rFonts w:ascii="Times New Roman" w:hAnsi="Times New Roman" w:cs="Times New Roman"/>
          <w:sz w:val="24"/>
          <w:szCs w:val="24"/>
        </w:rPr>
        <w:tab/>
        <w:t>ehitise kasutamise otstarbest vastavalt ehitusloale, selle puudumisel</w:t>
      </w:r>
    </w:p>
    <w:p w:rsidR="00AA6286" w:rsidRPr="00291AAF" w:rsidRDefault="00AA6286" w:rsidP="00AA6286">
      <w:pPr>
        <w:spacing w:after="0"/>
        <w:rPr>
          <w:rFonts w:ascii="Times New Roman" w:hAnsi="Times New Roman" w:cs="Times New Roman"/>
          <w:sz w:val="24"/>
          <w:szCs w:val="24"/>
        </w:rPr>
      </w:pPr>
      <w:r w:rsidRPr="00291AAF">
        <w:rPr>
          <w:rFonts w:ascii="Times New Roman" w:hAnsi="Times New Roman" w:cs="Times New Roman"/>
          <w:sz w:val="24"/>
          <w:szCs w:val="24"/>
        </w:rPr>
        <w:t>3.</w:t>
      </w:r>
      <w:r w:rsidRPr="00291AAF">
        <w:rPr>
          <w:rFonts w:ascii="Times New Roman" w:hAnsi="Times New Roman" w:cs="Times New Roman"/>
          <w:sz w:val="24"/>
          <w:szCs w:val="24"/>
        </w:rPr>
        <w:tab/>
        <w:t>krundi kasutuse sihtotstarbest vastavalt detailplaneeringule.</w:t>
      </w:r>
    </w:p>
    <w:p w:rsidR="00AA6286" w:rsidRPr="00291AAF" w:rsidRDefault="00AA6286" w:rsidP="00AA6286">
      <w:pPr>
        <w:spacing w:after="0"/>
        <w:rPr>
          <w:rFonts w:ascii="Times New Roman" w:hAnsi="Times New Roman" w:cs="Times New Roman"/>
          <w:sz w:val="24"/>
          <w:szCs w:val="24"/>
        </w:rPr>
      </w:pPr>
    </w:p>
    <w:p w:rsidR="00AA6286" w:rsidRPr="00291AAF" w:rsidRDefault="00AA6286" w:rsidP="00AA6286">
      <w:pPr>
        <w:spacing w:after="0"/>
        <w:rPr>
          <w:rFonts w:ascii="Times New Roman" w:hAnsi="Times New Roman" w:cs="Times New Roman"/>
          <w:sz w:val="24"/>
          <w:szCs w:val="24"/>
        </w:rPr>
      </w:pP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8</w:t>
      </w:r>
      <w:bookmarkStart w:id="0" w:name="_GoBack"/>
      <w:bookmarkEnd w:id="0"/>
      <w:r w:rsidRPr="00291AAF">
        <w:rPr>
          <w:rFonts w:ascii="Times New Roman" w:hAnsi="Times New Roman" w:cs="Times New Roman"/>
          <w:sz w:val="24"/>
          <w:szCs w:val="24"/>
        </w:rPr>
        <w:t>.</w:t>
      </w:r>
      <w:r w:rsidRPr="00291AAF">
        <w:rPr>
          <w:rFonts w:ascii="Times New Roman" w:hAnsi="Times New Roman" w:cs="Times New Roman"/>
          <w:sz w:val="24"/>
          <w:szCs w:val="24"/>
        </w:rPr>
        <w:tab/>
        <w:t>Kõigi kaitstavate loodusobjektide puhul tuleb hindajal hinnangu andmisel arvestada seadusest tulenevate kinnisomandi kitsendustega. Missugune on kitsendusemõju väärtusele? Tooge üks näide.</w:t>
      </w:r>
    </w:p>
    <w:p w:rsidR="00AA6286" w:rsidRPr="00291AAF" w:rsidRDefault="00AA6286" w:rsidP="00AA6286">
      <w:pPr>
        <w:rPr>
          <w:rFonts w:ascii="Times New Roman" w:hAnsi="Times New Roman" w:cs="Times New Roman"/>
          <w:sz w:val="24"/>
          <w:szCs w:val="24"/>
        </w:rPr>
      </w:pP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 xml:space="preserve">Vastus: Kitsenduse mõju võib olla väärtuse seisukohalt vaadatuna positiivne, negatiivne või see mõju võib ka puududa. </w:t>
      </w: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 xml:space="preserve">Näiteks kaitstavate loodusobjektide puhul, millega kaasnevad suuremad kinnisomandi kitsendused, on majandustegevus keelatud, misläbi omanikul puudub võimalus tulu teenida ja selliste kitsendustega kinnisasja turuväärtus läheneb nullile. Samas võib taoliste kitsenduste olemasolu positiivselt mõjutada naabruses paiknevate kinnisasjade turuväärtust. </w:t>
      </w:r>
    </w:p>
    <w:p w:rsidR="00AA6286" w:rsidRPr="00291AAF" w:rsidRDefault="00AA6286" w:rsidP="00AA6286">
      <w:pPr>
        <w:rPr>
          <w:rFonts w:ascii="Times New Roman" w:hAnsi="Times New Roman" w:cs="Times New Roman"/>
          <w:sz w:val="24"/>
          <w:szCs w:val="24"/>
        </w:rPr>
      </w:pPr>
      <w:r w:rsidRPr="00291AAF">
        <w:rPr>
          <w:rFonts w:ascii="Times New Roman" w:hAnsi="Times New Roman" w:cs="Times New Roman"/>
          <w:sz w:val="24"/>
          <w:szCs w:val="24"/>
        </w:rPr>
        <w:t xml:space="preserve">Näiteks loodusobjektide puhul, millega kaasnevad väiksemad kinnisomandi kitsendused, majandustegevust oluliselt ei piirata ja seeläbi on negatiivne mõju turuväärtusele väiksem või puudub üldse. Silmas pidades teatavate tegevuste välistamist võib mõju konkreetsele kinnisasjale olla ka kinnisomandi kitsenduste esinemisel positiivne.  </w:t>
      </w:r>
    </w:p>
    <w:p w:rsidR="004A5885" w:rsidRPr="00291AAF" w:rsidRDefault="004A5885">
      <w:pPr>
        <w:rPr>
          <w:rFonts w:ascii="Times New Roman" w:hAnsi="Times New Roman" w:cs="Times New Roman"/>
          <w:sz w:val="24"/>
          <w:szCs w:val="24"/>
        </w:rPr>
      </w:pPr>
    </w:p>
    <w:sectPr w:rsidR="004A5885" w:rsidRPr="00291AAF" w:rsidSect="00356D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7D74"/>
    <w:multiLevelType w:val="hybridMultilevel"/>
    <w:tmpl w:val="D792B5E0"/>
    <w:lvl w:ilvl="0" w:tplc="187A75F0">
      <w:start w:val="6"/>
      <w:numFmt w:val="decimal"/>
      <w:lvlText w:val="%1."/>
      <w:lvlJc w:val="left"/>
      <w:pPr>
        <w:tabs>
          <w:tab w:val="num" w:pos="720"/>
        </w:tabs>
        <w:ind w:left="720" w:hanging="360"/>
      </w:pPr>
      <w:rPr>
        <w:rFonts w:ascii="Calibri" w:hAnsi="Calibri"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A5885"/>
    <w:rsid w:val="00291AAF"/>
    <w:rsid w:val="00356D0F"/>
    <w:rsid w:val="004A5885"/>
    <w:rsid w:val="00AA6286"/>
    <w:rsid w:val="00E2531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56D0F"/>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qiktavaline">
    <w:name w:val="lqik (tavaline)"/>
    <w:rsid w:val="00AA6286"/>
    <w:pPr>
      <w:spacing w:before="120" w:after="0" w:line="240" w:lineRule="auto"/>
      <w:jc w:val="both"/>
    </w:pPr>
    <w:rPr>
      <w:rFonts w:ascii="Times New Roman" w:eastAsia="Times New Roman" w:hAnsi="Times New Roman" w:cs="Times New Roman"/>
      <w:noProof/>
      <w:sz w:val="23"/>
      <w:szCs w:val="20"/>
      <w:lang w:val="en-GB"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qiktavaline">
    <w:name w:val="lqik (tavaline)"/>
    <w:rsid w:val="00AA6286"/>
    <w:pPr>
      <w:spacing w:before="120" w:after="0" w:line="240" w:lineRule="auto"/>
      <w:jc w:val="both"/>
    </w:pPr>
    <w:rPr>
      <w:rFonts w:ascii="Times New Roman" w:eastAsia="Times New Roman" w:hAnsi="Times New Roman" w:cs="Times New Roman"/>
      <w:noProof/>
      <w:sz w:val="23"/>
      <w:szCs w:val="20"/>
      <w:lang w:val="en-GB" w:eastAsia="et-E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669</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Kolbre</dc:creator>
  <cp:lastModifiedBy>EKHÜ</cp:lastModifiedBy>
  <cp:revision>3</cp:revision>
  <dcterms:created xsi:type="dcterms:W3CDTF">2012-11-13T17:30:00Z</dcterms:created>
  <dcterms:modified xsi:type="dcterms:W3CDTF">2012-11-19T12:28:00Z</dcterms:modified>
</cp:coreProperties>
</file>